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D7" w:rsidRDefault="000325B6" w:rsidP="00754488">
      <w:pPr>
        <w:jc w:val="center"/>
        <w:rPr>
          <w:lang w:val="sk-SK"/>
        </w:rPr>
      </w:pPr>
      <w:r w:rsidRPr="000325B6">
        <w:rPr>
          <w:noProof/>
          <w:lang w:val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4.1pt;margin-top:129.35pt;width:36.85pt;height:19.85pt;z-index:251662336;mso-width-relative:margin;mso-height-relative:margin" stroked="f">
            <v:textbox>
              <w:txbxContent>
                <w:p w:rsidR="000325B6" w:rsidRPr="000325B6" w:rsidRDefault="000325B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0325B6">
                    <w:rPr>
                      <w:rFonts w:cs="Arial"/>
                      <w:sz w:val="18"/>
                      <w:szCs w:val="18"/>
                    </w:rPr>
                    <w:t>826</w:t>
                  </w:r>
                </w:p>
              </w:txbxContent>
            </v:textbox>
          </v:shape>
        </w:pict>
      </w:r>
      <w:r w:rsidR="00754488">
        <w:rPr>
          <w:noProof/>
          <w:lang w:eastAsia="cs-CZ"/>
        </w:rPr>
        <w:drawing>
          <wp:inline distT="0" distB="0" distL="0" distR="0">
            <wp:extent cx="5486400" cy="3200400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4488" w:rsidRDefault="00754488" w:rsidP="00754488">
      <w:pPr>
        <w:rPr>
          <w:lang w:val="sk-SK"/>
        </w:rPr>
      </w:pPr>
    </w:p>
    <w:p w:rsidR="00DB52EF" w:rsidRDefault="00DB52EF" w:rsidP="00754488">
      <w:pPr>
        <w:rPr>
          <w:lang w:val="sk-SK"/>
        </w:rPr>
      </w:pPr>
    </w:p>
    <w:p w:rsidR="00754488" w:rsidRDefault="00754488" w:rsidP="00754488">
      <w:pPr>
        <w:rPr>
          <w:lang w:val="sk-SK"/>
        </w:rPr>
      </w:pPr>
    </w:p>
    <w:p w:rsidR="00754488" w:rsidRDefault="00754488" w:rsidP="00754488">
      <w:pPr>
        <w:rPr>
          <w:lang w:val="sk-SK"/>
        </w:rPr>
      </w:pPr>
    </w:p>
    <w:p w:rsidR="00754488" w:rsidRDefault="000325B6" w:rsidP="00754488">
      <w:pPr>
        <w:rPr>
          <w:lang w:val="sk-SK"/>
        </w:rPr>
      </w:pPr>
      <w:r w:rsidRPr="000325B6">
        <w:rPr>
          <w:noProof/>
          <w:lang w:val="sk-SK"/>
        </w:rPr>
        <w:pict>
          <v:shape id="_x0000_s1030" type="#_x0000_t202" style="position:absolute;margin-left:199.95pt;margin-top:148.8pt;width:51pt;height:22.7pt;z-index:251664384;mso-width-relative:margin;mso-height-relative:margin" stroked="f">
            <v:textbox>
              <w:txbxContent>
                <w:p w:rsidR="000325B6" w:rsidRPr="000325B6" w:rsidRDefault="000325B6">
                  <w:pPr>
                    <w:rPr>
                      <w:rFonts w:cs="Arial"/>
                      <w:sz w:val="18"/>
                      <w:szCs w:val="18"/>
                      <w:lang w:val="sk-SK"/>
                    </w:rPr>
                  </w:pPr>
                  <w:r w:rsidRPr="000325B6">
                    <w:rPr>
                      <w:rFonts w:cs="Arial"/>
                      <w:sz w:val="18"/>
                      <w:szCs w:val="18"/>
                      <w:lang w:val="sk-SK"/>
                    </w:rPr>
                    <w:t>33 381</w:t>
                  </w:r>
                </w:p>
              </w:txbxContent>
            </v:textbox>
          </v:shape>
        </w:pict>
      </w:r>
      <w:r w:rsidR="00141E45" w:rsidRPr="00141E45">
        <w:rPr>
          <w:noProof/>
          <w:lang w:eastAsia="cs-CZ"/>
        </w:rPr>
        <w:drawing>
          <wp:inline distT="0" distB="0" distL="0" distR="0">
            <wp:extent cx="5486400" cy="3600450"/>
            <wp:effectExtent l="0" t="0" r="0" b="0"/>
            <wp:docPr id="10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54488" w:rsidRDefault="00754488" w:rsidP="00754488">
      <w:pPr>
        <w:rPr>
          <w:lang w:val="sk-SK"/>
        </w:rPr>
      </w:pPr>
    </w:p>
    <w:p w:rsidR="00754488" w:rsidRDefault="00754488" w:rsidP="00754488">
      <w:pPr>
        <w:rPr>
          <w:lang w:val="sk-SK"/>
        </w:rPr>
      </w:pPr>
    </w:p>
    <w:p w:rsidR="005F152D" w:rsidRDefault="005F152D" w:rsidP="005F152D">
      <w:pPr>
        <w:jc w:val="center"/>
        <w:rPr>
          <w:lang w:val="sk-SK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486400" cy="2700000"/>
            <wp:effectExtent l="1905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152D" w:rsidRDefault="005F152D" w:rsidP="00754488">
      <w:pPr>
        <w:rPr>
          <w:lang w:val="sk-SK"/>
        </w:rPr>
      </w:pPr>
    </w:p>
    <w:p w:rsidR="005F152D" w:rsidRDefault="000078B9" w:rsidP="00BD144D">
      <w:pPr>
        <w:jc w:val="center"/>
        <w:rPr>
          <w:lang w:val="sk-SK"/>
        </w:rPr>
      </w:pPr>
      <w:r w:rsidRPr="000078B9">
        <w:rPr>
          <w:lang w:val="sk-SK"/>
        </w:rPr>
        <w:drawing>
          <wp:inline distT="0" distB="0" distL="0" distR="0">
            <wp:extent cx="5486400" cy="2700000"/>
            <wp:effectExtent l="19050" t="0" r="0" b="0"/>
            <wp:docPr id="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152D" w:rsidRDefault="005F152D" w:rsidP="00754488">
      <w:pPr>
        <w:rPr>
          <w:lang w:val="sk-SK"/>
        </w:rPr>
      </w:pPr>
    </w:p>
    <w:p w:rsidR="005F152D" w:rsidRDefault="00385E03" w:rsidP="00BD144D">
      <w:pPr>
        <w:jc w:val="center"/>
        <w:rPr>
          <w:lang w:val="sk-SK"/>
        </w:rPr>
      </w:pPr>
      <w:r w:rsidRPr="00385E03">
        <w:rPr>
          <w:lang w:val="sk-SK"/>
        </w:rPr>
        <w:drawing>
          <wp:inline distT="0" distB="0" distL="0" distR="0">
            <wp:extent cx="5486400" cy="2700000"/>
            <wp:effectExtent l="19050" t="0" r="0" b="0"/>
            <wp:docPr id="5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653D7" w:rsidRDefault="004653D7" w:rsidP="004B6983">
      <w:pPr>
        <w:jc w:val="center"/>
        <w:rPr>
          <w:lang w:val="sk-SK"/>
        </w:rPr>
      </w:pPr>
      <w:bookmarkStart w:id="0" w:name="_GoBack"/>
      <w:bookmarkEnd w:id="0"/>
      <w:r>
        <w:rPr>
          <w:rFonts w:cs="Arial"/>
          <w:noProof/>
          <w:sz w:val="20"/>
          <w:lang w:eastAsia="cs-CZ"/>
        </w:rPr>
        <w:lastRenderedPageBreak/>
        <w:drawing>
          <wp:inline distT="0" distB="0" distL="0" distR="0">
            <wp:extent cx="5508000" cy="3605753"/>
            <wp:effectExtent l="0" t="0" r="0" b="0"/>
            <wp:docPr id="19" name="objek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653D7" w:rsidRDefault="004653D7" w:rsidP="00183AAC">
      <w:pPr>
        <w:jc w:val="center"/>
        <w:rPr>
          <w:lang w:val="sk-SK"/>
        </w:rPr>
      </w:pPr>
    </w:p>
    <w:p w:rsidR="004653D7" w:rsidRDefault="004653D7" w:rsidP="004653D7">
      <w:pPr>
        <w:pStyle w:val="Bulletin"/>
        <w:ind w:firstLine="284"/>
        <w:rPr>
          <w:rFonts w:cs="Arial"/>
          <w:sz w:val="20"/>
        </w:rPr>
      </w:pPr>
    </w:p>
    <w:p w:rsidR="004653D7" w:rsidRDefault="004653D7" w:rsidP="009657F2">
      <w:pPr>
        <w:rPr>
          <w:lang w:val="sk-SK"/>
        </w:rPr>
      </w:pPr>
    </w:p>
    <w:p w:rsidR="009657F2" w:rsidRDefault="009657F2" w:rsidP="00B9044F">
      <w:pPr>
        <w:jc w:val="center"/>
        <w:rPr>
          <w:lang w:val="sk-SK"/>
        </w:rPr>
      </w:pPr>
      <w:r>
        <w:rPr>
          <w:noProof/>
          <w:lang w:eastAsia="cs-CZ"/>
        </w:rPr>
        <w:drawing>
          <wp:inline distT="0" distB="0" distL="0" distR="0">
            <wp:extent cx="5781675" cy="41052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653D7" w:rsidRDefault="004653D7">
      <w:pPr>
        <w:rPr>
          <w:lang w:val="sk-SK"/>
        </w:rPr>
      </w:pPr>
    </w:p>
    <w:p w:rsidR="004653D7" w:rsidRDefault="00BD144D" w:rsidP="008F7F15">
      <w:pPr>
        <w:jc w:val="center"/>
        <w:rPr>
          <w:lang w:val="sk-SK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486400" cy="3600000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657F2" w:rsidRDefault="009657F2" w:rsidP="00AD12CF">
      <w:pPr>
        <w:jc w:val="center"/>
        <w:rPr>
          <w:lang w:val="sk-SK"/>
        </w:rPr>
      </w:pPr>
    </w:p>
    <w:p w:rsidR="009657F2" w:rsidRDefault="009657F2" w:rsidP="00AD12CF">
      <w:pPr>
        <w:jc w:val="center"/>
        <w:rPr>
          <w:lang w:val="sk-SK"/>
        </w:rPr>
      </w:pPr>
    </w:p>
    <w:p w:rsidR="005D0390" w:rsidRDefault="005D0390" w:rsidP="00AD12CF">
      <w:pPr>
        <w:jc w:val="center"/>
        <w:rPr>
          <w:lang w:val="sk-SK"/>
        </w:rPr>
      </w:pPr>
    </w:p>
    <w:p w:rsidR="009657F2" w:rsidRDefault="005D0390" w:rsidP="005D0390">
      <w:pPr>
        <w:rPr>
          <w:lang w:val="sk-SK"/>
        </w:rPr>
      </w:pPr>
      <w:r w:rsidRPr="005D0390">
        <w:rPr>
          <w:noProof/>
          <w:lang w:val="sk-SK"/>
        </w:rPr>
        <w:pict>
          <v:shape id="_x0000_s1026" type="#_x0000_t202" style="position:absolute;margin-left:95.8pt;margin-top:133.25pt;width:59.55pt;height:17pt;z-index:251660288;mso-width-relative:margin;mso-height-relative:margin;v-text-anchor:middle" stroked="f">
            <v:textbox style="mso-next-textbox:#_x0000_s1026">
              <w:txbxContent>
                <w:p w:rsidR="005D0390" w:rsidRPr="005D0390" w:rsidRDefault="005D0390">
                  <w:pPr>
                    <w:rPr>
                      <w:rFonts w:cs="Arial"/>
                      <w:sz w:val="16"/>
                      <w:szCs w:val="16"/>
                      <w:lang w:val="sk-SK"/>
                    </w:rPr>
                  </w:pPr>
                  <w:r w:rsidRPr="005D0390">
                    <w:rPr>
                      <w:rFonts w:cs="Arial"/>
                      <w:sz w:val="16"/>
                      <w:szCs w:val="16"/>
                      <w:lang w:val="sk-SK"/>
                    </w:rPr>
                    <w:t>ZI kraj = 3,2</w:t>
                  </w:r>
                </w:p>
              </w:txbxContent>
            </v:textbox>
          </v:shape>
        </w:pict>
      </w:r>
      <w:r w:rsidRPr="005D0390">
        <w:rPr>
          <w:lang w:val="sk-SK"/>
        </w:rPr>
        <w:drawing>
          <wp:inline distT="0" distB="0" distL="0" distR="0">
            <wp:extent cx="5486400" cy="3240000"/>
            <wp:effectExtent l="0" t="0" r="0" b="0"/>
            <wp:docPr id="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657F2" w:rsidRDefault="009657F2" w:rsidP="00AD12CF">
      <w:pPr>
        <w:jc w:val="center"/>
        <w:rPr>
          <w:lang w:val="sk-SK"/>
        </w:rPr>
      </w:pPr>
    </w:p>
    <w:p w:rsidR="009657F2" w:rsidRDefault="009657F2" w:rsidP="00AD12CF">
      <w:pPr>
        <w:jc w:val="center"/>
        <w:rPr>
          <w:lang w:val="sk-SK"/>
        </w:rPr>
      </w:pPr>
    </w:p>
    <w:p w:rsidR="009657F2" w:rsidRDefault="009657F2" w:rsidP="00AD12CF">
      <w:pPr>
        <w:jc w:val="center"/>
        <w:rPr>
          <w:lang w:val="sk-SK"/>
        </w:rPr>
      </w:pPr>
    </w:p>
    <w:sectPr w:rsidR="009657F2" w:rsidSect="00754488"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D9" w:rsidRDefault="009B57D9" w:rsidP="0028417A">
      <w:pPr>
        <w:spacing w:after="0" w:line="240" w:lineRule="auto"/>
      </w:pPr>
      <w:r>
        <w:separator/>
      </w:r>
    </w:p>
  </w:endnote>
  <w:endnote w:type="continuationSeparator" w:id="0">
    <w:p w:rsidR="009B57D9" w:rsidRDefault="009B57D9" w:rsidP="0028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D9" w:rsidRDefault="009B57D9" w:rsidP="0028417A">
      <w:pPr>
        <w:spacing w:after="0" w:line="240" w:lineRule="auto"/>
      </w:pPr>
      <w:r>
        <w:separator/>
      </w:r>
    </w:p>
  </w:footnote>
  <w:footnote w:type="continuationSeparator" w:id="0">
    <w:p w:rsidR="009B57D9" w:rsidRDefault="009B57D9" w:rsidP="00284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B86"/>
    <w:multiLevelType w:val="hybridMultilevel"/>
    <w:tmpl w:val="5C6E8156"/>
    <w:lvl w:ilvl="0" w:tplc="6512FB68">
      <w:start w:val="1"/>
      <w:numFmt w:val="decimal"/>
      <w:lvlText w:val="%1)"/>
      <w:lvlJc w:val="left"/>
      <w:pPr>
        <w:ind w:left="720" w:hanging="360"/>
      </w:pPr>
      <w:rPr>
        <w:rFonts w:cs="Arial" w:hint="default"/>
        <w:sz w:val="18"/>
        <w:szCs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32218"/>
    <w:multiLevelType w:val="hybridMultilevel"/>
    <w:tmpl w:val="0C86BEE4"/>
    <w:lvl w:ilvl="0" w:tplc="86501B4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3D7"/>
    <w:rsid w:val="0000028E"/>
    <w:rsid w:val="000028C1"/>
    <w:rsid w:val="00007356"/>
    <w:rsid w:val="000078B9"/>
    <w:rsid w:val="0001128C"/>
    <w:rsid w:val="00011718"/>
    <w:rsid w:val="00013FD3"/>
    <w:rsid w:val="00014812"/>
    <w:rsid w:val="00015166"/>
    <w:rsid w:val="000226C1"/>
    <w:rsid w:val="0002580E"/>
    <w:rsid w:val="0003060E"/>
    <w:rsid w:val="000316E6"/>
    <w:rsid w:val="000325B6"/>
    <w:rsid w:val="00032C91"/>
    <w:rsid w:val="00036462"/>
    <w:rsid w:val="00036FD9"/>
    <w:rsid w:val="000425E6"/>
    <w:rsid w:val="0005021C"/>
    <w:rsid w:val="000619BD"/>
    <w:rsid w:val="00062D19"/>
    <w:rsid w:val="00067750"/>
    <w:rsid w:val="00071BD2"/>
    <w:rsid w:val="0007245A"/>
    <w:rsid w:val="00075A97"/>
    <w:rsid w:val="00080DD8"/>
    <w:rsid w:val="00082EF6"/>
    <w:rsid w:val="000A0565"/>
    <w:rsid w:val="000B0323"/>
    <w:rsid w:val="000B406D"/>
    <w:rsid w:val="000B4D40"/>
    <w:rsid w:val="000B4E8F"/>
    <w:rsid w:val="000C322E"/>
    <w:rsid w:val="000C683B"/>
    <w:rsid w:val="000C71E8"/>
    <w:rsid w:val="000D3519"/>
    <w:rsid w:val="000D424F"/>
    <w:rsid w:val="000D6386"/>
    <w:rsid w:val="000D7447"/>
    <w:rsid w:val="000E00B7"/>
    <w:rsid w:val="000E1650"/>
    <w:rsid w:val="000E183E"/>
    <w:rsid w:val="000E3B37"/>
    <w:rsid w:val="000E491B"/>
    <w:rsid w:val="000F14E4"/>
    <w:rsid w:val="000F48AA"/>
    <w:rsid w:val="000F4900"/>
    <w:rsid w:val="00102F21"/>
    <w:rsid w:val="00105332"/>
    <w:rsid w:val="00114CDF"/>
    <w:rsid w:val="001217E5"/>
    <w:rsid w:val="00123A40"/>
    <w:rsid w:val="00123F47"/>
    <w:rsid w:val="00124F1D"/>
    <w:rsid w:val="001267F0"/>
    <w:rsid w:val="00131DE7"/>
    <w:rsid w:val="00141E45"/>
    <w:rsid w:val="0014379C"/>
    <w:rsid w:val="001441F1"/>
    <w:rsid w:val="001464D0"/>
    <w:rsid w:val="00147CD5"/>
    <w:rsid w:val="0015163D"/>
    <w:rsid w:val="00151E68"/>
    <w:rsid w:val="0015226D"/>
    <w:rsid w:val="00152A74"/>
    <w:rsid w:val="00153AEA"/>
    <w:rsid w:val="0015733B"/>
    <w:rsid w:val="001658FC"/>
    <w:rsid w:val="00170E54"/>
    <w:rsid w:val="001769F5"/>
    <w:rsid w:val="00180E82"/>
    <w:rsid w:val="00183AAC"/>
    <w:rsid w:val="00184C1D"/>
    <w:rsid w:val="0018500E"/>
    <w:rsid w:val="00185F8D"/>
    <w:rsid w:val="001912A0"/>
    <w:rsid w:val="001947E4"/>
    <w:rsid w:val="00195A09"/>
    <w:rsid w:val="00196389"/>
    <w:rsid w:val="001B0C51"/>
    <w:rsid w:val="001B3964"/>
    <w:rsid w:val="001B6CFE"/>
    <w:rsid w:val="001B77D0"/>
    <w:rsid w:val="001C13BF"/>
    <w:rsid w:val="001C73FE"/>
    <w:rsid w:val="001D0BF4"/>
    <w:rsid w:val="001D33FA"/>
    <w:rsid w:val="001D4D58"/>
    <w:rsid w:val="001D4ECF"/>
    <w:rsid w:val="001E1B47"/>
    <w:rsid w:val="001E1D38"/>
    <w:rsid w:val="001F2C1E"/>
    <w:rsid w:val="00200AA6"/>
    <w:rsid w:val="00203CA7"/>
    <w:rsid w:val="002069DB"/>
    <w:rsid w:val="002234E2"/>
    <w:rsid w:val="00227696"/>
    <w:rsid w:val="00230736"/>
    <w:rsid w:val="0023299E"/>
    <w:rsid w:val="0023477B"/>
    <w:rsid w:val="002348BA"/>
    <w:rsid w:val="002404CE"/>
    <w:rsid w:val="00240721"/>
    <w:rsid w:val="00244CD0"/>
    <w:rsid w:val="002476E4"/>
    <w:rsid w:val="00251A99"/>
    <w:rsid w:val="0025508C"/>
    <w:rsid w:val="002600C5"/>
    <w:rsid w:val="002676E2"/>
    <w:rsid w:val="00267CF6"/>
    <w:rsid w:val="00277353"/>
    <w:rsid w:val="00281301"/>
    <w:rsid w:val="0028417A"/>
    <w:rsid w:val="00287FCF"/>
    <w:rsid w:val="00291E55"/>
    <w:rsid w:val="00293157"/>
    <w:rsid w:val="002933D0"/>
    <w:rsid w:val="002A07AE"/>
    <w:rsid w:val="002B3729"/>
    <w:rsid w:val="002B56DA"/>
    <w:rsid w:val="002B6500"/>
    <w:rsid w:val="002C628A"/>
    <w:rsid w:val="002D2011"/>
    <w:rsid w:val="002D36E1"/>
    <w:rsid w:val="002D5AD2"/>
    <w:rsid w:val="002E5DAA"/>
    <w:rsid w:val="002F124C"/>
    <w:rsid w:val="002F2134"/>
    <w:rsid w:val="002F5E48"/>
    <w:rsid w:val="00301F02"/>
    <w:rsid w:val="003024FF"/>
    <w:rsid w:val="00305CCE"/>
    <w:rsid w:val="003060B2"/>
    <w:rsid w:val="00307E7F"/>
    <w:rsid w:val="00312D7B"/>
    <w:rsid w:val="00313F48"/>
    <w:rsid w:val="0032147D"/>
    <w:rsid w:val="00333B45"/>
    <w:rsid w:val="003349D7"/>
    <w:rsid w:val="00345B1A"/>
    <w:rsid w:val="003505D2"/>
    <w:rsid w:val="00370DA6"/>
    <w:rsid w:val="00372914"/>
    <w:rsid w:val="00373AE1"/>
    <w:rsid w:val="00375E54"/>
    <w:rsid w:val="00377722"/>
    <w:rsid w:val="0038071D"/>
    <w:rsid w:val="00380EAB"/>
    <w:rsid w:val="00384B56"/>
    <w:rsid w:val="00385E03"/>
    <w:rsid w:val="00386224"/>
    <w:rsid w:val="003873C7"/>
    <w:rsid w:val="00394971"/>
    <w:rsid w:val="00395218"/>
    <w:rsid w:val="003A1961"/>
    <w:rsid w:val="003A2288"/>
    <w:rsid w:val="003A27D9"/>
    <w:rsid w:val="003A6565"/>
    <w:rsid w:val="003C6CAE"/>
    <w:rsid w:val="003D09F2"/>
    <w:rsid w:val="003D0D05"/>
    <w:rsid w:val="003E07B2"/>
    <w:rsid w:val="003E2AE8"/>
    <w:rsid w:val="003E3345"/>
    <w:rsid w:val="003E5C87"/>
    <w:rsid w:val="003E6BF9"/>
    <w:rsid w:val="003E6F3D"/>
    <w:rsid w:val="003F6571"/>
    <w:rsid w:val="004053D8"/>
    <w:rsid w:val="004172FC"/>
    <w:rsid w:val="00417E46"/>
    <w:rsid w:val="004207E9"/>
    <w:rsid w:val="00422CA3"/>
    <w:rsid w:val="0042493D"/>
    <w:rsid w:val="00437B76"/>
    <w:rsid w:val="00440D8B"/>
    <w:rsid w:val="0044261B"/>
    <w:rsid w:val="00450470"/>
    <w:rsid w:val="00452056"/>
    <w:rsid w:val="0045678D"/>
    <w:rsid w:val="00460285"/>
    <w:rsid w:val="00464021"/>
    <w:rsid w:val="004653D7"/>
    <w:rsid w:val="004715CD"/>
    <w:rsid w:val="00472874"/>
    <w:rsid w:val="00475589"/>
    <w:rsid w:val="00477A42"/>
    <w:rsid w:val="0048400E"/>
    <w:rsid w:val="004848FB"/>
    <w:rsid w:val="004947AF"/>
    <w:rsid w:val="004A14B1"/>
    <w:rsid w:val="004A34CB"/>
    <w:rsid w:val="004A58EC"/>
    <w:rsid w:val="004B4076"/>
    <w:rsid w:val="004B576B"/>
    <w:rsid w:val="004B6983"/>
    <w:rsid w:val="004C0543"/>
    <w:rsid w:val="004C1D56"/>
    <w:rsid w:val="004C22FF"/>
    <w:rsid w:val="004C58A2"/>
    <w:rsid w:val="004C5DDB"/>
    <w:rsid w:val="004C7EBE"/>
    <w:rsid w:val="004D108A"/>
    <w:rsid w:val="004D250E"/>
    <w:rsid w:val="004D29AB"/>
    <w:rsid w:val="004D2A83"/>
    <w:rsid w:val="004E2D7E"/>
    <w:rsid w:val="004F1EC1"/>
    <w:rsid w:val="00500EFE"/>
    <w:rsid w:val="00502426"/>
    <w:rsid w:val="00505B85"/>
    <w:rsid w:val="00512866"/>
    <w:rsid w:val="00513178"/>
    <w:rsid w:val="00514BA4"/>
    <w:rsid w:val="005163FF"/>
    <w:rsid w:val="0052640A"/>
    <w:rsid w:val="005306B5"/>
    <w:rsid w:val="00530C5C"/>
    <w:rsid w:val="00536536"/>
    <w:rsid w:val="00536674"/>
    <w:rsid w:val="00540879"/>
    <w:rsid w:val="005434C0"/>
    <w:rsid w:val="00545A3C"/>
    <w:rsid w:val="005462F3"/>
    <w:rsid w:val="00546CD5"/>
    <w:rsid w:val="0055238C"/>
    <w:rsid w:val="005550F7"/>
    <w:rsid w:val="00556408"/>
    <w:rsid w:val="00557C66"/>
    <w:rsid w:val="00565BDD"/>
    <w:rsid w:val="00566A4A"/>
    <w:rsid w:val="005713A2"/>
    <w:rsid w:val="00571C01"/>
    <w:rsid w:val="00572E91"/>
    <w:rsid w:val="00580822"/>
    <w:rsid w:val="00580B3F"/>
    <w:rsid w:val="00590FD2"/>
    <w:rsid w:val="005A0F5D"/>
    <w:rsid w:val="005A3D35"/>
    <w:rsid w:val="005A6228"/>
    <w:rsid w:val="005B0462"/>
    <w:rsid w:val="005B1B12"/>
    <w:rsid w:val="005B1FE8"/>
    <w:rsid w:val="005B3489"/>
    <w:rsid w:val="005B682B"/>
    <w:rsid w:val="005C22E6"/>
    <w:rsid w:val="005C4BA4"/>
    <w:rsid w:val="005C4FDF"/>
    <w:rsid w:val="005D0390"/>
    <w:rsid w:val="005D06E0"/>
    <w:rsid w:val="005D0A61"/>
    <w:rsid w:val="005D3378"/>
    <w:rsid w:val="005D417D"/>
    <w:rsid w:val="005D540E"/>
    <w:rsid w:val="005E2E5F"/>
    <w:rsid w:val="005E7D8A"/>
    <w:rsid w:val="005F152D"/>
    <w:rsid w:val="005F76FD"/>
    <w:rsid w:val="00602089"/>
    <w:rsid w:val="00612B7A"/>
    <w:rsid w:val="00614289"/>
    <w:rsid w:val="006162D5"/>
    <w:rsid w:val="0061685B"/>
    <w:rsid w:val="006204D3"/>
    <w:rsid w:val="00623165"/>
    <w:rsid w:val="0062533D"/>
    <w:rsid w:val="006327AB"/>
    <w:rsid w:val="00634012"/>
    <w:rsid w:val="0063732F"/>
    <w:rsid w:val="006519AC"/>
    <w:rsid w:val="006539B9"/>
    <w:rsid w:val="00655EA7"/>
    <w:rsid w:val="006563D4"/>
    <w:rsid w:val="006606B5"/>
    <w:rsid w:val="00663426"/>
    <w:rsid w:val="00664CE7"/>
    <w:rsid w:val="00665AAE"/>
    <w:rsid w:val="00672A19"/>
    <w:rsid w:val="00673B50"/>
    <w:rsid w:val="0067484E"/>
    <w:rsid w:val="00680055"/>
    <w:rsid w:val="00683BDA"/>
    <w:rsid w:val="006850B0"/>
    <w:rsid w:val="00685810"/>
    <w:rsid w:val="00686C1A"/>
    <w:rsid w:val="00695D51"/>
    <w:rsid w:val="00695E33"/>
    <w:rsid w:val="00695F8F"/>
    <w:rsid w:val="00696D9D"/>
    <w:rsid w:val="0069752D"/>
    <w:rsid w:val="006A2B10"/>
    <w:rsid w:val="006B1188"/>
    <w:rsid w:val="006B3187"/>
    <w:rsid w:val="006C5B20"/>
    <w:rsid w:val="006C7A9E"/>
    <w:rsid w:val="006D00EC"/>
    <w:rsid w:val="006D3BE6"/>
    <w:rsid w:val="006E0BB9"/>
    <w:rsid w:val="006E0ED8"/>
    <w:rsid w:val="006E6D65"/>
    <w:rsid w:val="006E7157"/>
    <w:rsid w:val="006E77B5"/>
    <w:rsid w:val="006F2891"/>
    <w:rsid w:val="006F3CC9"/>
    <w:rsid w:val="006F6BE6"/>
    <w:rsid w:val="007011A6"/>
    <w:rsid w:val="0070198F"/>
    <w:rsid w:val="00702CAB"/>
    <w:rsid w:val="007035F5"/>
    <w:rsid w:val="00710185"/>
    <w:rsid w:val="00711CDE"/>
    <w:rsid w:val="00713045"/>
    <w:rsid w:val="00716CC5"/>
    <w:rsid w:val="00716E2B"/>
    <w:rsid w:val="007216B5"/>
    <w:rsid w:val="00721ED3"/>
    <w:rsid w:val="00722F06"/>
    <w:rsid w:val="0072449A"/>
    <w:rsid w:val="00732D7C"/>
    <w:rsid w:val="007353E7"/>
    <w:rsid w:val="0073733D"/>
    <w:rsid w:val="00741ED3"/>
    <w:rsid w:val="00754488"/>
    <w:rsid w:val="007570BF"/>
    <w:rsid w:val="007610BA"/>
    <w:rsid w:val="00761424"/>
    <w:rsid w:val="007677A0"/>
    <w:rsid w:val="00770630"/>
    <w:rsid w:val="00771208"/>
    <w:rsid w:val="00771271"/>
    <w:rsid w:val="00771992"/>
    <w:rsid w:val="00783F0F"/>
    <w:rsid w:val="007871C8"/>
    <w:rsid w:val="007A1015"/>
    <w:rsid w:val="007A23CD"/>
    <w:rsid w:val="007A3A13"/>
    <w:rsid w:val="007A561D"/>
    <w:rsid w:val="007A718D"/>
    <w:rsid w:val="007B17ED"/>
    <w:rsid w:val="007B1F91"/>
    <w:rsid w:val="007B5128"/>
    <w:rsid w:val="007D1C0C"/>
    <w:rsid w:val="007D2C0C"/>
    <w:rsid w:val="007D6A85"/>
    <w:rsid w:val="007E25DD"/>
    <w:rsid w:val="007E67D8"/>
    <w:rsid w:val="007E7628"/>
    <w:rsid w:val="007F04A3"/>
    <w:rsid w:val="007F0505"/>
    <w:rsid w:val="007F166F"/>
    <w:rsid w:val="007F5A23"/>
    <w:rsid w:val="008025E2"/>
    <w:rsid w:val="008066DE"/>
    <w:rsid w:val="00807FBF"/>
    <w:rsid w:val="0082296A"/>
    <w:rsid w:val="00826D0E"/>
    <w:rsid w:val="00827DD6"/>
    <w:rsid w:val="00833846"/>
    <w:rsid w:val="008445FF"/>
    <w:rsid w:val="008446A8"/>
    <w:rsid w:val="00847892"/>
    <w:rsid w:val="008501A0"/>
    <w:rsid w:val="0086294E"/>
    <w:rsid w:val="00865C0D"/>
    <w:rsid w:val="00867B60"/>
    <w:rsid w:val="00872F76"/>
    <w:rsid w:val="00874E97"/>
    <w:rsid w:val="00875DF4"/>
    <w:rsid w:val="00875F75"/>
    <w:rsid w:val="00884539"/>
    <w:rsid w:val="00885371"/>
    <w:rsid w:val="00885DC3"/>
    <w:rsid w:val="0088702A"/>
    <w:rsid w:val="00897046"/>
    <w:rsid w:val="008A59F9"/>
    <w:rsid w:val="008B597F"/>
    <w:rsid w:val="008B732E"/>
    <w:rsid w:val="008C4D88"/>
    <w:rsid w:val="008D1926"/>
    <w:rsid w:val="008E5BCF"/>
    <w:rsid w:val="008F0C89"/>
    <w:rsid w:val="008F3B7F"/>
    <w:rsid w:val="008F7F15"/>
    <w:rsid w:val="00907D4D"/>
    <w:rsid w:val="00910141"/>
    <w:rsid w:val="009153DF"/>
    <w:rsid w:val="00915EC9"/>
    <w:rsid w:val="0091717D"/>
    <w:rsid w:val="00923E24"/>
    <w:rsid w:val="0092777B"/>
    <w:rsid w:val="00927AA2"/>
    <w:rsid w:val="0093050D"/>
    <w:rsid w:val="00932232"/>
    <w:rsid w:val="009326D9"/>
    <w:rsid w:val="009350F0"/>
    <w:rsid w:val="009411C8"/>
    <w:rsid w:val="00942244"/>
    <w:rsid w:val="00944FB9"/>
    <w:rsid w:val="009457DA"/>
    <w:rsid w:val="00945FE9"/>
    <w:rsid w:val="0094615C"/>
    <w:rsid w:val="009467D0"/>
    <w:rsid w:val="0095135E"/>
    <w:rsid w:val="009526DA"/>
    <w:rsid w:val="009657F2"/>
    <w:rsid w:val="00965B8D"/>
    <w:rsid w:val="00970843"/>
    <w:rsid w:val="00970F3D"/>
    <w:rsid w:val="0097709E"/>
    <w:rsid w:val="009845D0"/>
    <w:rsid w:val="00984C7A"/>
    <w:rsid w:val="00994909"/>
    <w:rsid w:val="00996BD1"/>
    <w:rsid w:val="009A6B98"/>
    <w:rsid w:val="009B00D9"/>
    <w:rsid w:val="009B3E29"/>
    <w:rsid w:val="009B4726"/>
    <w:rsid w:val="009B4991"/>
    <w:rsid w:val="009B51DB"/>
    <w:rsid w:val="009B57D9"/>
    <w:rsid w:val="009B7895"/>
    <w:rsid w:val="009C401A"/>
    <w:rsid w:val="009D478B"/>
    <w:rsid w:val="009D59D3"/>
    <w:rsid w:val="009D5FD7"/>
    <w:rsid w:val="009E32B1"/>
    <w:rsid w:val="009E3568"/>
    <w:rsid w:val="009E467E"/>
    <w:rsid w:val="009E6B51"/>
    <w:rsid w:val="009F68E2"/>
    <w:rsid w:val="00A05901"/>
    <w:rsid w:val="00A1184A"/>
    <w:rsid w:val="00A12360"/>
    <w:rsid w:val="00A17ADB"/>
    <w:rsid w:val="00A21A3F"/>
    <w:rsid w:val="00A245F3"/>
    <w:rsid w:val="00A3175C"/>
    <w:rsid w:val="00A327DE"/>
    <w:rsid w:val="00A32A17"/>
    <w:rsid w:val="00A3733D"/>
    <w:rsid w:val="00A40752"/>
    <w:rsid w:val="00A42077"/>
    <w:rsid w:val="00A43DFE"/>
    <w:rsid w:val="00A44EF8"/>
    <w:rsid w:val="00A46081"/>
    <w:rsid w:val="00A466FF"/>
    <w:rsid w:val="00A605AA"/>
    <w:rsid w:val="00A61219"/>
    <w:rsid w:val="00A63BCD"/>
    <w:rsid w:val="00A6535A"/>
    <w:rsid w:val="00A653CB"/>
    <w:rsid w:val="00A66F57"/>
    <w:rsid w:val="00A72AC4"/>
    <w:rsid w:val="00A73696"/>
    <w:rsid w:val="00A823B1"/>
    <w:rsid w:val="00A83C46"/>
    <w:rsid w:val="00A84A4D"/>
    <w:rsid w:val="00A94F97"/>
    <w:rsid w:val="00AA0169"/>
    <w:rsid w:val="00AA1C4E"/>
    <w:rsid w:val="00AA23A0"/>
    <w:rsid w:val="00AB246E"/>
    <w:rsid w:val="00AB2BE9"/>
    <w:rsid w:val="00AB57ED"/>
    <w:rsid w:val="00AB6987"/>
    <w:rsid w:val="00AC5E16"/>
    <w:rsid w:val="00AD07FB"/>
    <w:rsid w:val="00AD12CF"/>
    <w:rsid w:val="00AD13A7"/>
    <w:rsid w:val="00AD1581"/>
    <w:rsid w:val="00AD428E"/>
    <w:rsid w:val="00AE03EC"/>
    <w:rsid w:val="00AE1A6B"/>
    <w:rsid w:val="00AE2CFB"/>
    <w:rsid w:val="00AE53CF"/>
    <w:rsid w:val="00AE6C67"/>
    <w:rsid w:val="00AF0443"/>
    <w:rsid w:val="00AF1A78"/>
    <w:rsid w:val="00AF1BE7"/>
    <w:rsid w:val="00AF50D6"/>
    <w:rsid w:val="00AF50F8"/>
    <w:rsid w:val="00B0247E"/>
    <w:rsid w:val="00B100A5"/>
    <w:rsid w:val="00B12C96"/>
    <w:rsid w:val="00B13C80"/>
    <w:rsid w:val="00B1484A"/>
    <w:rsid w:val="00B2424B"/>
    <w:rsid w:val="00B24E11"/>
    <w:rsid w:val="00B33DB8"/>
    <w:rsid w:val="00B41ED6"/>
    <w:rsid w:val="00B45EA9"/>
    <w:rsid w:val="00B46426"/>
    <w:rsid w:val="00B50B8C"/>
    <w:rsid w:val="00B51F06"/>
    <w:rsid w:val="00B52082"/>
    <w:rsid w:val="00B6362A"/>
    <w:rsid w:val="00B63E49"/>
    <w:rsid w:val="00B67CC1"/>
    <w:rsid w:val="00B7093C"/>
    <w:rsid w:val="00B7244D"/>
    <w:rsid w:val="00B74832"/>
    <w:rsid w:val="00B74ACA"/>
    <w:rsid w:val="00B75522"/>
    <w:rsid w:val="00B77E87"/>
    <w:rsid w:val="00B831F3"/>
    <w:rsid w:val="00B862AA"/>
    <w:rsid w:val="00B9044F"/>
    <w:rsid w:val="00BA2B52"/>
    <w:rsid w:val="00BA3B03"/>
    <w:rsid w:val="00BA5EC4"/>
    <w:rsid w:val="00BB09D1"/>
    <w:rsid w:val="00BB3E6C"/>
    <w:rsid w:val="00BC438C"/>
    <w:rsid w:val="00BD144D"/>
    <w:rsid w:val="00BD2EB0"/>
    <w:rsid w:val="00BD2F28"/>
    <w:rsid w:val="00BD7FE8"/>
    <w:rsid w:val="00BE4DC5"/>
    <w:rsid w:val="00BE6447"/>
    <w:rsid w:val="00BE64EF"/>
    <w:rsid w:val="00BE6635"/>
    <w:rsid w:val="00BF28A0"/>
    <w:rsid w:val="00BF6FCA"/>
    <w:rsid w:val="00C0408A"/>
    <w:rsid w:val="00C06D6B"/>
    <w:rsid w:val="00C06FBD"/>
    <w:rsid w:val="00C15F5B"/>
    <w:rsid w:val="00C20C64"/>
    <w:rsid w:val="00C2196F"/>
    <w:rsid w:val="00C22A99"/>
    <w:rsid w:val="00C3018D"/>
    <w:rsid w:val="00C309E5"/>
    <w:rsid w:val="00C31025"/>
    <w:rsid w:val="00C32DF4"/>
    <w:rsid w:val="00C335ED"/>
    <w:rsid w:val="00C362A3"/>
    <w:rsid w:val="00C45BAF"/>
    <w:rsid w:val="00C502BB"/>
    <w:rsid w:val="00C50681"/>
    <w:rsid w:val="00C53457"/>
    <w:rsid w:val="00C53D11"/>
    <w:rsid w:val="00C5422D"/>
    <w:rsid w:val="00C62A1D"/>
    <w:rsid w:val="00C67835"/>
    <w:rsid w:val="00C868C9"/>
    <w:rsid w:val="00C86F42"/>
    <w:rsid w:val="00C87A46"/>
    <w:rsid w:val="00C87AD9"/>
    <w:rsid w:val="00C90663"/>
    <w:rsid w:val="00C90D42"/>
    <w:rsid w:val="00C91DB2"/>
    <w:rsid w:val="00C927B6"/>
    <w:rsid w:val="00C9701A"/>
    <w:rsid w:val="00C97EFE"/>
    <w:rsid w:val="00CA10FA"/>
    <w:rsid w:val="00CA2AD9"/>
    <w:rsid w:val="00CA4355"/>
    <w:rsid w:val="00CB0004"/>
    <w:rsid w:val="00CB2480"/>
    <w:rsid w:val="00CB24AC"/>
    <w:rsid w:val="00CB2ACA"/>
    <w:rsid w:val="00CB699F"/>
    <w:rsid w:val="00CB702F"/>
    <w:rsid w:val="00CC4DBA"/>
    <w:rsid w:val="00CC5B0B"/>
    <w:rsid w:val="00CC7D97"/>
    <w:rsid w:val="00CD5794"/>
    <w:rsid w:val="00CE1741"/>
    <w:rsid w:val="00CE27EF"/>
    <w:rsid w:val="00CE3BEF"/>
    <w:rsid w:val="00CF1D80"/>
    <w:rsid w:val="00D01592"/>
    <w:rsid w:val="00D06B37"/>
    <w:rsid w:val="00D119D4"/>
    <w:rsid w:val="00D14B01"/>
    <w:rsid w:val="00D16ADD"/>
    <w:rsid w:val="00D1797D"/>
    <w:rsid w:val="00D17A3B"/>
    <w:rsid w:val="00D209A0"/>
    <w:rsid w:val="00D27C2B"/>
    <w:rsid w:val="00D32390"/>
    <w:rsid w:val="00D32820"/>
    <w:rsid w:val="00D340B7"/>
    <w:rsid w:val="00D3585A"/>
    <w:rsid w:val="00D36908"/>
    <w:rsid w:val="00D36C7F"/>
    <w:rsid w:val="00D40D99"/>
    <w:rsid w:val="00D422DB"/>
    <w:rsid w:val="00D42FBB"/>
    <w:rsid w:val="00D44E1F"/>
    <w:rsid w:val="00D540A5"/>
    <w:rsid w:val="00D54BD2"/>
    <w:rsid w:val="00D55508"/>
    <w:rsid w:val="00D57670"/>
    <w:rsid w:val="00D62E15"/>
    <w:rsid w:val="00D65AD5"/>
    <w:rsid w:val="00D670D8"/>
    <w:rsid w:val="00D71A75"/>
    <w:rsid w:val="00D73C56"/>
    <w:rsid w:val="00D73DA0"/>
    <w:rsid w:val="00D73F91"/>
    <w:rsid w:val="00D7570C"/>
    <w:rsid w:val="00D80164"/>
    <w:rsid w:val="00D906BE"/>
    <w:rsid w:val="00D92F00"/>
    <w:rsid w:val="00D93AF6"/>
    <w:rsid w:val="00D949E7"/>
    <w:rsid w:val="00D96800"/>
    <w:rsid w:val="00D96A7F"/>
    <w:rsid w:val="00DA1B29"/>
    <w:rsid w:val="00DA5EC9"/>
    <w:rsid w:val="00DB0895"/>
    <w:rsid w:val="00DB3818"/>
    <w:rsid w:val="00DB4536"/>
    <w:rsid w:val="00DB52EF"/>
    <w:rsid w:val="00DC121B"/>
    <w:rsid w:val="00DC1424"/>
    <w:rsid w:val="00DD375F"/>
    <w:rsid w:val="00DD51A9"/>
    <w:rsid w:val="00DD54C6"/>
    <w:rsid w:val="00DE041B"/>
    <w:rsid w:val="00DE085D"/>
    <w:rsid w:val="00DE0C7F"/>
    <w:rsid w:val="00DE5E6B"/>
    <w:rsid w:val="00DE6729"/>
    <w:rsid w:val="00DE6776"/>
    <w:rsid w:val="00DF7953"/>
    <w:rsid w:val="00DF797F"/>
    <w:rsid w:val="00E01267"/>
    <w:rsid w:val="00E01F91"/>
    <w:rsid w:val="00E039B3"/>
    <w:rsid w:val="00E20F1B"/>
    <w:rsid w:val="00E232A8"/>
    <w:rsid w:val="00E2550F"/>
    <w:rsid w:val="00E270C3"/>
    <w:rsid w:val="00E308D3"/>
    <w:rsid w:val="00E32F3C"/>
    <w:rsid w:val="00E437E1"/>
    <w:rsid w:val="00E444EE"/>
    <w:rsid w:val="00E460AF"/>
    <w:rsid w:val="00E47A80"/>
    <w:rsid w:val="00E5453A"/>
    <w:rsid w:val="00E57945"/>
    <w:rsid w:val="00E62405"/>
    <w:rsid w:val="00E64505"/>
    <w:rsid w:val="00E73D42"/>
    <w:rsid w:val="00E77B97"/>
    <w:rsid w:val="00E805D0"/>
    <w:rsid w:val="00E80FDF"/>
    <w:rsid w:val="00E82B05"/>
    <w:rsid w:val="00E93F7A"/>
    <w:rsid w:val="00E96688"/>
    <w:rsid w:val="00E97B45"/>
    <w:rsid w:val="00EA00EC"/>
    <w:rsid w:val="00EA04A7"/>
    <w:rsid w:val="00EA699D"/>
    <w:rsid w:val="00EB0B2D"/>
    <w:rsid w:val="00EB4E62"/>
    <w:rsid w:val="00EB5E5A"/>
    <w:rsid w:val="00EC222D"/>
    <w:rsid w:val="00EC257F"/>
    <w:rsid w:val="00EC4C02"/>
    <w:rsid w:val="00EC5442"/>
    <w:rsid w:val="00ED2466"/>
    <w:rsid w:val="00EE34B7"/>
    <w:rsid w:val="00EE6B59"/>
    <w:rsid w:val="00EF625F"/>
    <w:rsid w:val="00F023F5"/>
    <w:rsid w:val="00F02C74"/>
    <w:rsid w:val="00F0582F"/>
    <w:rsid w:val="00F12AD1"/>
    <w:rsid w:val="00F13F90"/>
    <w:rsid w:val="00F14B55"/>
    <w:rsid w:val="00F23B11"/>
    <w:rsid w:val="00F25614"/>
    <w:rsid w:val="00F31424"/>
    <w:rsid w:val="00F34970"/>
    <w:rsid w:val="00F34B24"/>
    <w:rsid w:val="00F43DD4"/>
    <w:rsid w:val="00F509AB"/>
    <w:rsid w:val="00F67EC6"/>
    <w:rsid w:val="00F70385"/>
    <w:rsid w:val="00F704E6"/>
    <w:rsid w:val="00F71085"/>
    <w:rsid w:val="00F75D72"/>
    <w:rsid w:val="00F8487A"/>
    <w:rsid w:val="00F90741"/>
    <w:rsid w:val="00F9281F"/>
    <w:rsid w:val="00FA17D2"/>
    <w:rsid w:val="00FA75A2"/>
    <w:rsid w:val="00FC1828"/>
    <w:rsid w:val="00FC25A7"/>
    <w:rsid w:val="00FC7112"/>
    <w:rsid w:val="00FE20E2"/>
    <w:rsid w:val="00FE2D7F"/>
    <w:rsid w:val="00FE5030"/>
    <w:rsid w:val="00FF145A"/>
    <w:rsid w:val="00FF2802"/>
    <w:rsid w:val="00FF6757"/>
    <w:rsid w:val="00FF741B"/>
    <w:rsid w:val="00FF7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4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5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3D7"/>
    <w:rPr>
      <w:rFonts w:ascii="Tahoma" w:hAnsi="Tahoma" w:cs="Tahoma"/>
      <w:sz w:val="16"/>
      <w:szCs w:val="16"/>
    </w:rPr>
  </w:style>
  <w:style w:type="paragraph" w:customStyle="1" w:styleId="Bulletin">
    <w:name w:val="Bulletin"/>
    <w:basedOn w:val="Normln"/>
    <w:rsid w:val="004653D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bCs/>
      <w:iCs/>
      <w:szCs w:val="18"/>
      <w:lang w:val="sk-SK" w:eastAsia="cs-CZ"/>
    </w:rPr>
  </w:style>
  <w:style w:type="character" w:styleId="Znakapoznpodarou">
    <w:name w:val="footnote reference"/>
    <w:basedOn w:val="Standardnpsmoodstavce"/>
    <w:semiHidden/>
    <w:rsid w:val="004653D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C6CA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8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417A"/>
  </w:style>
  <w:style w:type="paragraph" w:styleId="Zpat">
    <w:name w:val="footer"/>
    <w:basedOn w:val="Normln"/>
    <w:link w:val="ZpatChar"/>
    <w:uiPriority w:val="99"/>
    <w:unhideWhenUsed/>
    <w:rsid w:val="0028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4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List_aplikace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U</a:t>
            </a:r>
            <a:r>
              <a:rPr lang="en-US" sz="1000">
                <a:latin typeface="Arial" pitchFamily="34" charset="0"/>
                <a:cs typeface="Arial" pitchFamily="34" charset="0"/>
              </a:rPr>
              <a:t>bytovacie zariadenia</a:t>
            </a:r>
            <a:r>
              <a:rPr lang="sk-SK" sz="1000">
                <a:latin typeface="Arial" pitchFamily="34" charset="0"/>
                <a:cs typeface="Arial" pitchFamily="34" charset="0"/>
              </a:rPr>
              <a:t> cestovného ruchu v Žilinskom kraji za rok 2010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30953412073490832"/>
          <c:y val="0.21416166729158848"/>
          <c:w val="0.39945027704870262"/>
          <c:h val="0.68477190351206141"/>
        </c:manualLayout>
      </c:layout>
      <c:doughnut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ubytovacie zariadenia</c:v>
                </c:pt>
              </c:strCache>
            </c:strRef>
          </c:tx>
          <c:dPt>
            <c:idx val="0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1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2"/>
            <c:spPr>
              <a:solidFill>
                <a:schemeClr val="accent3">
                  <a:lumMod val="60000"/>
                  <a:lumOff val="40000"/>
                </a:schemeClr>
              </a:solidFill>
            </c:spPr>
          </c:dPt>
          <c:dPt>
            <c:idx val="3"/>
            <c:spPr>
              <a:solidFill>
                <a:srgbClr val="663300"/>
              </a:solidFill>
            </c:spPr>
          </c:dPt>
          <c:dPt>
            <c:idx val="4"/>
            <c:spPr>
              <a:solidFill>
                <a:srgbClr val="FFFF99"/>
              </a:solidFill>
            </c:spPr>
          </c:dPt>
          <c:dLbls>
            <c:dLbl>
              <c:idx val="0"/>
              <c:layout>
                <c:manualLayout>
                  <c:x val="0.15740722513852451"/>
                  <c:y val="-2.3809523809523822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7824055847185771"/>
                  <c:y val="1.1904761904761915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1342610819480894"/>
                  <c:y val="0.1190476190476191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0.14120370370370369"/>
                  <c:y val="1.9841269841269861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0.11342592592592603"/>
                  <c:y val="-7.9365391826021911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CatName val="1"/>
            <c:showPercent val="1"/>
            <c:showLeaderLines val="1"/>
          </c:dLbls>
          <c:cat>
            <c:strRef>
              <c:f>List1!$A$2:$A$6</c:f>
              <c:strCache>
                <c:ptCount val="5"/>
                <c:pt idx="0">
                  <c:v>ubytovanie v súkromí</c:v>
                </c:pt>
                <c:pt idx="1">
                  <c:v>hotely a penzióny</c:v>
                </c:pt>
                <c:pt idx="2">
                  <c:v>turistické ubytovne</c:v>
                </c:pt>
                <c:pt idx="3">
                  <c:v>chatové osady, apartmánové domy</c:v>
                </c:pt>
                <c:pt idx="4">
                  <c:v>ostatné hromadné ubytovanie</c:v>
                </c:pt>
              </c:strCache>
            </c:strRef>
          </c:cat>
          <c:val>
            <c:numRef>
              <c:f>List1!$B$2:$B$6</c:f>
              <c:numCache>
                <c:formatCode>#,##0</c:formatCode>
                <c:ptCount val="5"/>
                <c:pt idx="0">
                  <c:v>196</c:v>
                </c:pt>
                <c:pt idx="1">
                  <c:v>302</c:v>
                </c:pt>
                <c:pt idx="2">
                  <c:v>89</c:v>
                </c:pt>
                <c:pt idx="3">
                  <c:v>11</c:v>
                </c:pt>
                <c:pt idx="4">
                  <c:v>228</c:v>
                </c:pt>
              </c:numCache>
            </c:numRef>
          </c:val>
        </c:ser>
        <c:firstSliceAng val="0"/>
        <c:holeSize val="50"/>
      </c:doughnutChart>
    </c:plotArea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Lôžka v ubytovacích</a:t>
            </a:r>
            <a:r>
              <a:rPr lang="sk-SK" sz="1000" baseline="0">
                <a:latin typeface="Arial" pitchFamily="34" charset="0"/>
                <a:cs typeface="Arial" pitchFamily="34" charset="0"/>
              </a:rPr>
              <a:t> </a:t>
            </a:r>
            <a:r>
              <a:rPr lang="en-US" sz="1000">
                <a:latin typeface="Arial" pitchFamily="34" charset="0"/>
                <a:cs typeface="Arial" pitchFamily="34" charset="0"/>
              </a:rPr>
              <a:t>zariadenia</a:t>
            </a:r>
            <a:r>
              <a:rPr lang="sk-SK" sz="1000">
                <a:latin typeface="Arial" pitchFamily="34" charset="0"/>
                <a:cs typeface="Arial" pitchFamily="34" charset="0"/>
              </a:rPr>
              <a:t>ch cestovného ruchu v Žilinskom kraji za rok 2010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31655092592592643"/>
          <c:y val="0.24900793650793684"/>
          <c:w val="0.38078703703703731"/>
          <c:h val="0.65277777777777835"/>
        </c:manualLayout>
      </c:layout>
      <c:doughnut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lôžka v ubytovacích zariadeniach</c:v>
                </c:pt>
              </c:strCache>
            </c:strRef>
          </c:tx>
          <c:dPt>
            <c:idx val="0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1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2"/>
            <c:spPr>
              <a:solidFill>
                <a:schemeClr val="accent3">
                  <a:lumMod val="60000"/>
                  <a:lumOff val="40000"/>
                </a:schemeClr>
              </a:solidFill>
            </c:spPr>
          </c:dPt>
          <c:dPt>
            <c:idx val="3"/>
            <c:spPr>
              <a:solidFill>
                <a:srgbClr val="663300"/>
              </a:solidFill>
            </c:spPr>
          </c:dPt>
          <c:dPt>
            <c:idx val="4"/>
            <c:spPr>
              <a:solidFill>
                <a:srgbClr val="FFFF66"/>
              </a:solidFill>
            </c:spPr>
          </c:dPt>
          <c:dLbls>
            <c:dLbl>
              <c:idx val="0"/>
              <c:layout>
                <c:manualLayout>
                  <c:x val="3.7036854768154014E-2"/>
                  <c:y val="-0.1190476190476191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4351815398075241"/>
                  <c:y val="3.968253968253968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0.11342610819480892"/>
                  <c:y val="0.10493827160493827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0.14120370370370369"/>
                  <c:y val="7.9365079365079413E-3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0.13425925925925927"/>
                  <c:y val="-2.7778090238720188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CatName val="1"/>
            <c:showPercent val="1"/>
            <c:showLeaderLines val="1"/>
          </c:dLbls>
          <c:cat>
            <c:strRef>
              <c:f>List1!$A$2:$A$6</c:f>
              <c:strCache>
                <c:ptCount val="5"/>
                <c:pt idx="0">
                  <c:v>ubytovanie v súkromí</c:v>
                </c:pt>
                <c:pt idx="1">
                  <c:v>hotely a penzióny</c:v>
                </c:pt>
                <c:pt idx="2">
                  <c:v>turistické ubytovne</c:v>
                </c:pt>
                <c:pt idx="3">
                  <c:v>chatové osady, apartmánové domy</c:v>
                </c:pt>
                <c:pt idx="4">
                  <c:v>ostatné hromadné ubytovanie</c:v>
                </c:pt>
              </c:strCache>
            </c:strRef>
          </c:cat>
          <c:val>
            <c:numRef>
              <c:f>List1!$B$2:$B$6</c:f>
              <c:numCache>
                <c:formatCode>#,##0</c:formatCode>
                <c:ptCount val="5"/>
                <c:pt idx="0">
                  <c:v>2190</c:v>
                </c:pt>
                <c:pt idx="1">
                  <c:v>18394</c:v>
                </c:pt>
                <c:pt idx="2">
                  <c:v>4438</c:v>
                </c:pt>
                <c:pt idx="3">
                  <c:v>1182</c:v>
                </c:pt>
                <c:pt idx="4">
                  <c:v>7177</c:v>
                </c:pt>
              </c:numCache>
            </c:numRef>
          </c:val>
        </c:ser>
        <c:firstSliceAng val="0"/>
        <c:holeSize val="50"/>
      </c:doughnutChart>
    </c:plotArea>
    <c:plotVisOnly val="1"/>
    <c:dispBlanksAs val="zero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P</a:t>
            </a:r>
            <a:r>
              <a:rPr lang="en-US" sz="1000">
                <a:latin typeface="Arial" pitchFamily="34" charset="0"/>
                <a:cs typeface="Arial" pitchFamily="34" charset="0"/>
              </a:rPr>
              <a:t>očet</a:t>
            </a:r>
            <a:r>
              <a:rPr lang="sk-SK" sz="1000">
                <a:latin typeface="Arial" pitchFamily="34" charset="0"/>
                <a:cs typeface="Arial" pitchFamily="34" charset="0"/>
              </a:rPr>
              <a:t> ubytovacích </a:t>
            </a:r>
            <a:r>
              <a:rPr lang="sk-SK" sz="1000" baseline="0">
                <a:latin typeface="Arial" pitchFamily="34" charset="0"/>
                <a:cs typeface="Arial" pitchFamily="34" charset="0"/>
              </a:rPr>
              <a:t>zariadení za rok 2010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  <c:layout>
        <c:manualLayout>
          <c:xMode val="edge"/>
          <c:yMode val="edge"/>
          <c:x val="0.2717707421988918"/>
          <c:y val="2.3518518518518518E-2"/>
        </c:manualLayout>
      </c:layout>
    </c:title>
    <c:view3D>
      <c:rotX val="0"/>
      <c:rotY val="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počet zariadení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</c:spPr>
          <c:dLbls>
            <c:dLbl>
              <c:idx val="0"/>
              <c:layout>
                <c:manualLayout>
                  <c:x val="1.1574074074074084E-2"/>
                  <c:y val="-7.9365079365079378E-3"/>
                </c:manualLayout>
              </c:layout>
              <c:showVal val="1"/>
            </c:dLbl>
            <c:dLbl>
              <c:idx val="1"/>
              <c:layout>
                <c:manualLayout>
                  <c:x val="6.9444444444444458E-3"/>
                  <c:y val="7.2750482331542893E-17"/>
                </c:manualLayout>
              </c:layout>
              <c:showVal val="1"/>
            </c:dLbl>
            <c:dLbl>
              <c:idx val="2"/>
              <c:layout>
                <c:manualLayout>
                  <c:x val="6.9444444444444458E-3"/>
                  <c:y val="-8.0843973490927032E-17"/>
                </c:manualLayout>
              </c:layout>
              <c:showVal val="1"/>
            </c:dLbl>
            <c:dLbl>
              <c:idx val="3"/>
              <c:layout>
                <c:manualLayout>
                  <c:x val="6.9444444444444883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4.6296296296296302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-2.3148148148148147E-3"/>
                  <c:y val="0"/>
                </c:manualLayout>
              </c:layout>
              <c:showVal val="1"/>
            </c:dLbl>
            <c:dLbl>
              <c:idx val="7"/>
              <c:layout>
                <c:manualLayout>
                  <c:x val="-4.6296296296296302E-3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-6.9444444444445308E-3"/>
                  <c:y val="-4.4097222222222237E-3"/>
                </c:manualLayout>
              </c:layout>
              <c:showVal val="1"/>
            </c:dLbl>
            <c:dLbl>
              <c:idx val="9"/>
              <c:layout>
                <c:manualLayout>
                  <c:x val="-1.1574074074074073E-2"/>
                  <c:y val="0"/>
                </c:manualLayout>
              </c:layout>
              <c:showVal val="1"/>
            </c:dLbl>
            <c:dLbl>
              <c:idx val="10"/>
              <c:layout>
                <c:manualLayout>
                  <c:x val="-1.3888888888888892E-2"/>
                  <c:y val="0"/>
                </c:manualLayout>
              </c:layout>
              <c:showVal val="1"/>
            </c:dLbl>
            <c:txPr>
              <a:bodyPr anchor="ctr" anchorCtr="0"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Val val="1"/>
          </c:dLbls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List1!$B$2:$B$12</c:f>
              <c:numCache>
                <c:formatCode>#,##0</c:formatCode>
                <c:ptCount val="11"/>
                <c:pt idx="0">
                  <c:v>11</c:v>
                </c:pt>
                <c:pt idx="1">
                  <c:v>76</c:v>
                </c:pt>
                <c:pt idx="2">
                  <c:v>39</c:v>
                </c:pt>
                <c:pt idx="3">
                  <c:v>7</c:v>
                </c:pt>
                <c:pt idx="4">
                  <c:v>227</c:v>
                </c:pt>
                <c:pt idx="5">
                  <c:v>64</c:v>
                </c:pt>
                <c:pt idx="6">
                  <c:v>27</c:v>
                </c:pt>
                <c:pt idx="7">
                  <c:v>73</c:v>
                </c:pt>
                <c:pt idx="8">
                  <c:v>34</c:v>
                </c:pt>
                <c:pt idx="9">
                  <c:v>119</c:v>
                </c:pt>
                <c:pt idx="10">
                  <c:v>149</c:v>
                </c:pt>
              </c:numCache>
            </c:numRef>
          </c:val>
        </c:ser>
        <c:shape val="cylinder"/>
        <c:axId val="90018176"/>
        <c:axId val="91263360"/>
        <c:axId val="0"/>
      </c:bar3DChart>
      <c:catAx>
        <c:axId val="90018176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1263360"/>
        <c:crosses val="autoZero"/>
        <c:auto val="1"/>
        <c:lblAlgn val="ctr"/>
        <c:lblOffset val="100"/>
      </c:catAx>
      <c:valAx>
        <c:axId val="91263360"/>
        <c:scaling>
          <c:orientation val="minMax"/>
          <c:max val="240"/>
        </c:scaling>
        <c:delete val="1"/>
        <c:axPos val="l"/>
        <c:numFmt formatCode="#,##0" sourceLinked="1"/>
        <c:tickLblPos val="none"/>
        <c:crossAx val="90018176"/>
        <c:crosses val="autoZero"/>
        <c:crossBetween val="between"/>
        <c:majorUnit val="60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P</a:t>
            </a:r>
            <a:r>
              <a:rPr lang="en-US" sz="1000">
                <a:latin typeface="Arial" pitchFamily="34" charset="0"/>
                <a:cs typeface="Arial" pitchFamily="34" charset="0"/>
              </a:rPr>
              <a:t>očet</a:t>
            </a:r>
            <a:r>
              <a:rPr lang="sk-SK" sz="1000">
                <a:latin typeface="Arial" pitchFamily="34" charset="0"/>
                <a:cs typeface="Arial" pitchFamily="34" charset="0"/>
              </a:rPr>
              <a:t> izieb v ubytovacích </a:t>
            </a:r>
            <a:r>
              <a:rPr lang="sk-SK" sz="1000" baseline="0">
                <a:latin typeface="Arial" pitchFamily="34" charset="0"/>
                <a:cs typeface="Arial" pitchFamily="34" charset="0"/>
              </a:rPr>
              <a:t>zariadeniach za rok 2010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  <c:layout>
        <c:manualLayout>
          <c:xMode val="edge"/>
          <c:yMode val="edge"/>
          <c:x val="0.2132290755322252"/>
          <c:y val="1.8814814814814819E-2"/>
        </c:manualLayout>
      </c:layout>
    </c:title>
    <c:view3D>
      <c:rotX val="0"/>
      <c:rotY val="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počet izieb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1.1574074074074084E-2"/>
                  <c:y val="-7.9365079365079413E-3"/>
                </c:manualLayout>
              </c:layout>
              <c:showVal val="1"/>
            </c:dLbl>
            <c:dLbl>
              <c:idx val="1"/>
              <c:layout>
                <c:manualLayout>
                  <c:x val="6.9444444444444493E-3"/>
                  <c:y val="7.2750482331543041E-17"/>
                </c:manualLayout>
              </c:layout>
              <c:showVal val="1"/>
            </c:dLbl>
            <c:dLbl>
              <c:idx val="2"/>
              <c:layout>
                <c:manualLayout>
                  <c:x val="6.9444444444444493E-3"/>
                  <c:y val="-8.0843973490927156E-17"/>
                </c:manualLayout>
              </c:layout>
              <c:showVal val="1"/>
            </c:dLbl>
            <c:dLbl>
              <c:idx val="3"/>
              <c:layout>
                <c:manualLayout>
                  <c:x val="6.94444444444449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4.629629629629632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-2.3148148148148147E-3"/>
                  <c:y val="0"/>
                </c:manualLayout>
              </c:layout>
              <c:showVal val="1"/>
            </c:dLbl>
            <c:dLbl>
              <c:idx val="7"/>
              <c:layout>
                <c:manualLayout>
                  <c:x val="-4.629629629629632E-3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-6.9444444444445343E-3"/>
                  <c:y val="-4.4097222222222281E-3"/>
                </c:manualLayout>
              </c:layout>
              <c:showVal val="1"/>
            </c:dLbl>
            <c:dLbl>
              <c:idx val="9"/>
              <c:layout>
                <c:manualLayout>
                  <c:x val="-1.1574074074074073E-2"/>
                  <c:y val="0"/>
                </c:manualLayout>
              </c:layout>
              <c:showVal val="1"/>
            </c:dLbl>
            <c:dLbl>
              <c:idx val="10"/>
              <c:layout>
                <c:manualLayout>
                  <c:x val="-1.38888888888889E-2"/>
                  <c:y val="0"/>
                </c:manualLayout>
              </c:layout>
              <c:showVal val="1"/>
            </c:dLbl>
            <c:txPr>
              <a:bodyPr anchor="ctr" anchorCtr="0"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Val val="1"/>
          </c:dLbls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List1!$B$2:$B$12</c:f>
              <c:numCache>
                <c:formatCode>#,##0</c:formatCode>
                <c:ptCount val="11"/>
                <c:pt idx="0">
                  <c:v>82</c:v>
                </c:pt>
                <c:pt idx="1">
                  <c:v>776</c:v>
                </c:pt>
                <c:pt idx="2">
                  <c:v>576</c:v>
                </c:pt>
                <c:pt idx="3">
                  <c:v>82</c:v>
                </c:pt>
                <c:pt idx="4">
                  <c:v>3699</c:v>
                </c:pt>
                <c:pt idx="5">
                  <c:v>929</c:v>
                </c:pt>
                <c:pt idx="6">
                  <c:v>289</c:v>
                </c:pt>
                <c:pt idx="7">
                  <c:v>1229</c:v>
                </c:pt>
                <c:pt idx="8">
                  <c:v>871</c:v>
                </c:pt>
                <c:pt idx="9">
                  <c:v>1049</c:v>
                </c:pt>
                <c:pt idx="10">
                  <c:v>2454</c:v>
                </c:pt>
              </c:numCache>
            </c:numRef>
          </c:val>
        </c:ser>
        <c:shape val="cylinder"/>
        <c:axId val="91342720"/>
        <c:axId val="91882624"/>
        <c:axId val="0"/>
      </c:bar3DChart>
      <c:catAx>
        <c:axId val="91342720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1882624"/>
        <c:crosses val="autoZero"/>
        <c:auto val="1"/>
        <c:lblAlgn val="ctr"/>
        <c:lblOffset val="100"/>
      </c:catAx>
      <c:valAx>
        <c:axId val="91882624"/>
        <c:scaling>
          <c:orientation val="minMax"/>
          <c:max val="4000"/>
        </c:scaling>
        <c:delete val="1"/>
        <c:axPos val="l"/>
        <c:numFmt formatCode="#,##0" sourceLinked="1"/>
        <c:tickLblPos val="none"/>
        <c:crossAx val="91342720"/>
        <c:crosses val="autoZero"/>
        <c:crossBetween val="between"/>
        <c:majorUnit val="1000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P</a:t>
            </a:r>
            <a:r>
              <a:rPr lang="en-US" sz="1000">
                <a:latin typeface="Arial" pitchFamily="34" charset="0"/>
                <a:cs typeface="Arial" pitchFamily="34" charset="0"/>
              </a:rPr>
              <a:t>očet</a:t>
            </a:r>
            <a:r>
              <a:rPr lang="sk-SK" sz="1000">
                <a:latin typeface="Arial" pitchFamily="34" charset="0"/>
                <a:cs typeface="Arial" pitchFamily="34" charset="0"/>
              </a:rPr>
              <a:t> lôžok v ubytovacích </a:t>
            </a:r>
            <a:r>
              <a:rPr lang="sk-SK" sz="1000" baseline="0">
                <a:latin typeface="Arial" pitchFamily="34" charset="0"/>
                <a:cs typeface="Arial" pitchFamily="34" charset="0"/>
              </a:rPr>
              <a:t>zariadeniach za rok 2010</a:t>
            </a:r>
            <a:endParaRPr lang="en-US" sz="1000">
              <a:latin typeface="Arial" pitchFamily="34" charset="0"/>
              <a:cs typeface="Arial" pitchFamily="34" charset="0"/>
            </a:endParaRPr>
          </a:p>
        </c:rich>
      </c:tx>
      <c:layout>
        <c:manualLayout>
          <c:xMode val="edge"/>
          <c:yMode val="edge"/>
          <c:x val="0.2132290755322252"/>
          <c:y val="0"/>
        </c:manualLayout>
      </c:layout>
    </c:title>
    <c:view3D>
      <c:rotX val="0"/>
      <c:rotY val="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počet lôžok</c:v>
                </c:pt>
              </c:strCache>
            </c:strRef>
          </c:tx>
          <c:spPr>
            <a:solidFill>
              <a:srgbClr val="FFFF66"/>
            </a:solidFill>
          </c:spPr>
          <c:dLbls>
            <c:dLbl>
              <c:idx val="0"/>
              <c:layout>
                <c:manualLayout>
                  <c:x val="1.1574074074074084E-2"/>
                  <c:y val="-7.9365079365079413E-3"/>
                </c:manualLayout>
              </c:layout>
              <c:showVal val="1"/>
            </c:dLbl>
            <c:dLbl>
              <c:idx val="1"/>
              <c:layout>
                <c:manualLayout>
                  <c:x val="6.944444444444451E-3"/>
                  <c:y val="7.2750482331543202E-17"/>
                </c:manualLayout>
              </c:layout>
              <c:showVal val="1"/>
            </c:dLbl>
            <c:dLbl>
              <c:idx val="2"/>
              <c:layout>
                <c:manualLayout>
                  <c:x val="6.944444444444451E-3"/>
                  <c:y val="-8.0843973490927291E-17"/>
                </c:manualLayout>
              </c:layout>
              <c:showVal val="1"/>
            </c:dLbl>
            <c:dLbl>
              <c:idx val="3"/>
              <c:layout>
                <c:manualLayout>
                  <c:x val="6.9444444444444918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4.6296296296296337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-2.3148148148148147E-3"/>
                  <c:y val="0"/>
                </c:manualLayout>
              </c:layout>
              <c:showVal val="1"/>
            </c:dLbl>
            <c:dLbl>
              <c:idx val="7"/>
              <c:layout>
                <c:manualLayout>
                  <c:x val="-4.6296296296296337E-3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-6.9444444444445386E-3"/>
                  <c:y val="-4.4097222222222315E-3"/>
                </c:manualLayout>
              </c:layout>
              <c:showVal val="1"/>
            </c:dLbl>
            <c:dLbl>
              <c:idx val="9"/>
              <c:layout>
                <c:manualLayout>
                  <c:x val="-1.1574074074074073E-2"/>
                  <c:y val="0"/>
                </c:manualLayout>
              </c:layout>
              <c:showVal val="1"/>
            </c:dLbl>
            <c:dLbl>
              <c:idx val="10"/>
              <c:layout>
                <c:manualLayout>
                  <c:x val="-1.3888888888888907E-2"/>
                  <c:y val="0"/>
                </c:manualLayout>
              </c:layout>
              <c:showVal val="1"/>
            </c:dLbl>
            <c:txPr>
              <a:bodyPr anchor="ctr" anchorCtr="0"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Val val="1"/>
          </c:dLbls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List1!$B$2:$B$12</c:f>
              <c:numCache>
                <c:formatCode>#,##0</c:formatCode>
                <c:ptCount val="11"/>
                <c:pt idx="0">
                  <c:v>243</c:v>
                </c:pt>
                <c:pt idx="1">
                  <c:v>2312</c:v>
                </c:pt>
                <c:pt idx="2">
                  <c:v>1511</c:v>
                </c:pt>
                <c:pt idx="3">
                  <c:v>208</c:v>
                </c:pt>
                <c:pt idx="4">
                  <c:v>10940</c:v>
                </c:pt>
                <c:pt idx="5">
                  <c:v>2769</c:v>
                </c:pt>
                <c:pt idx="6">
                  <c:v>964</c:v>
                </c:pt>
                <c:pt idx="7">
                  <c:v>3287</c:v>
                </c:pt>
                <c:pt idx="8">
                  <c:v>2057</c:v>
                </c:pt>
                <c:pt idx="9">
                  <c:v>2998</c:v>
                </c:pt>
                <c:pt idx="10">
                  <c:v>6092</c:v>
                </c:pt>
              </c:numCache>
            </c:numRef>
          </c:val>
        </c:ser>
        <c:shape val="cylinder"/>
        <c:axId val="92355584"/>
        <c:axId val="92680960"/>
        <c:axId val="0"/>
      </c:bar3DChart>
      <c:catAx>
        <c:axId val="9235558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2680960"/>
        <c:crosses val="autoZero"/>
        <c:auto val="1"/>
        <c:lblAlgn val="ctr"/>
        <c:lblOffset val="100"/>
      </c:catAx>
      <c:valAx>
        <c:axId val="92680960"/>
        <c:scaling>
          <c:orientation val="minMax"/>
          <c:max val="11000"/>
        </c:scaling>
        <c:delete val="1"/>
        <c:axPos val="l"/>
        <c:numFmt formatCode="#,##0" sourceLinked="1"/>
        <c:tickLblPos val="none"/>
        <c:crossAx val="92355584"/>
        <c:crosses val="autoZero"/>
        <c:crossBetween val="between"/>
        <c:majorUnit val="1000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 sz="9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cs-CZ"/>
              <a:t>Štruktúra návštevníkov v ubytovacích zariadeniach cestovného ruchu     v Žilinskom kraji za </a:t>
            </a:r>
            <a:r>
              <a:rPr lang="cs-CZ" sz="998" b="1" i="0" u="none" strike="noStrike" baseline="0"/>
              <a:t>rok </a:t>
            </a:r>
            <a:r>
              <a:rPr lang="cs-CZ"/>
              <a:t>2010</a:t>
            </a:r>
          </a:p>
        </c:rich>
      </c:tx>
      <c:layout>
        <c:manualLayout>
          <c:xMode val="edge"/>
          <c:yMode val="edge"/>
          <c:x val="0.14212328767123344"/>
          <c:y val="0"/>
        </c:manualLayout>
      </c:layout>
      <c:spPr>
        <a:noFill/>
        <a:ln w="25346">
          <a:noFill/>
        </a:ln>
      </c:spPr>
    </c:title>
    <c:plotArea>
      <c:layout>
        <c:manualLayout>
          <c:layoutTarget val="inner"/>
          <c:xMode val="edge"/>
          <c:yMode val="edge"/>
          <c:x val="0.28443088212589357"/>
          <c:y val="0.20587791531342134"/>
          <c:w val="0.44752886710239698"/>
          <c:h val="0.68362669323162184"/>
        </c:manualLayout>
      </c:layout>
      <c:doughnutChart>
        <c:varyColors val="1"/>
        <c:ser>
          <c:idx val="0"/>
          <c:order val="0"/>
          <c:spPr>
            <a:solidFill>
              <a:srgbClr val="9999FF"/>
            </a:solidFill>
            <a:ln w="12673">
              <a:solidFill>
                <a:srgbClr val="000000"/>
              </a:solidFill>
              <a:prstDash val="solid"/>
            </a:ln>
          </c:spPr>
          <c:explosion val="10"/>
          <c:dPt>
            <c:idx val="0"/>
            <c:explosion val="21"/>
            <c:spPr>
              <a:solidFill>
                <a:srgbClr val="00206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chemeClr val="bg1">
                  <a:lumMod val="95000"/>
                </a:schemeClr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chemeClr val="tx1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3"/>
            <c:explosion val="19"/>
            <c:spPr>
              <a:solidFill>
                <a:schemeClr val="accent4">
                  <a:lumMod val="75000"/>
                </a:schemeClr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4"/>
            <c:explosion val="14"/>
            <c:spPr>
              <a:solidFill>
                <a:schemeClr val="accent6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FF0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chemeClr val="accent6">
                  <a:lumMod val="50000"/>
                </a:schemeClr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chemeClr val="accent1">
                  <a:lumMod val="40000"/>
                  <a:lumOff val="60000"/>
                </a:schemeClr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8"/>
            <c:explosion val="17"/>
            <c:spPr>
              <a:solidFill>
                <a:srgbClr val="FF000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92D05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1512047153275408E-2"/>
                  <c:y val="0.1201686992292190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1085796801351386"/>
                  <c:y val="2.3286587857256628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3126156808253639"/>
                  <c:y val="-3.3280285874555934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6.6022577627623563E-2"/>
                  <c:y val="-0.10670073892478479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1.9967486763116559E-2"/>
                  <c:y val="-0.1309186351706037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Litva
</a:t>
                    </a:r>
                    <a:r>
                      <a:rPr lang="sk-SK"/>
                      <a:t>0,9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0.10805710704847016"/>
                  <c:y val="1.3314219627559748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0.10162003106013139"/>
                  <c:y val="4.8162937416464102E-2"/>
                </c:manualLayout>
              </c:layout>
              <c:tx>
                <c:rich>
                  <a:bodyPr/>
                  <a:lstStyle/>
                  <a:p>
                    <a:pPr>
                      <a:defRPr sz="798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cs-CZ"/>
                      <a:t>Rusko
0,8%</a:t>
                    </a:r>
                  </a:p>
                </c:rich>
              </c:tx>
              <c:spPr>
                <a:noFill/>
                <a:ln w="25346">
                  <a:noFill/>
                </a:ln>
              </c:spPr>
            </c:dLbl>
            <c:dLbl>
              <c:idx val="7"/>
              <c:layout>
                <c:manualLayout>
                  <c:x val="9.9070738994995869E-2"/>
                  <c:y val="7.1587753377793481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8.4291383992225896E-2"/>
                  <c:y val="9.7723391436228782E-2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4.7774659655432442E-2"/>
                  <c:y val="0.13154550931793163"/>
                </c:manualLayout>
              </c:layout>
              <c:showCatName val="1"/>
              <c:showPercent val="1"/>
            </c:dLbl>
            <c:dLbl>
              <c:idx val="10"/>
              <c:layout>
                <c:manualLayout>
                  <c:x val="3.198262066302561E-2"/>
                  <c:y val="-9.7372130011120939E-2"/>
                </c:manualLayout>
              </c:layout>
              <c:showCatName val="1"/>
              <c:showPercent val="1"/>
            </c:dLbl>
            <c:numFmt formatCode="0.0%" sourceLinked="0"/>
            <c:spPr>
              <a:noFill/>
              <a:ln w="25346">
                <a:noFill/>
              </a:ln>
            </c:spPr>
            <c:txPr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CatName val="1"/>
            <c:showPercent val="1"/>
          </c:dLbls>
          <c:cat>
            <c:strRef>
              <c:f>Sheet1!$A$2:$A$11</c:f>
              <c:strCache>
                <c:ptCount val="10"/>
                <c:pt idx="0">
                  <c:v>Maďarsko</c:v>
                </c:pt>
                <c:pt idx="1">
                  <c:v>SR</c:v>
                </c:pt>
                <c:pt idx="2">
                  <c:v>Južná Kórea</c:v>
                </c:pt>
                <c:pt idx="3">
                  <c:v>Nemecko</c:v>
                </c:pt>
                <c:pt idx="4">
                  <c:v>Litva</c:v>
                </c:pt>
                <c:pt idx="5">
                  <c:v>ČR</c:v>
                </c:pt>
                <c:pt idx="6">
                  <c:v>Rusko</c:v>
                </c:pt>
                <c:pt idx="7">
                  <c:v>Poľsko</c:v>
                </c:pt>
                <c:pt idx="8">
                  <c:v>Ukrajina</c:v>
                </c:pt>
                <c:pt idx="9">
                  <c:v>ostatní</c:v>
                </c:pt>
              </c:strCache>
            </c:strRef>
          </c:cat>
          <c:val>
            <c:numRef>
              <c:f>Sheet1!$B$2:$B$11</c:f>
              <c:numCache>
                <c:formatCode>#,##0</c:formatCode>
                <c:ptCount val="10"/>
                <c:pt idx="0">
                  <c:v>5388</c:v>
                </c:pt>
                <c:pt idx="1">
                  <c:v>423909</c:v>
                </c:pt>
                <c:pt idx="2">
                  <c:v>4845</c:v>
                </c:pt>
                <c:pt idx="3">
                  <c:v>10155</c:v>
                </c:pt>
                <c:pt idx="4">
                  <c:v>5962</c:v>
                </c:pt>
                <c:pt idx="5">
                  <c:v>105633</c:v>
                </c:pt>
                <c:pt idx="6">
                  <c:v>5244</c:v>
                </c:pt>
                <c:pt idx="7">
                  <c:v>58463</c:v>
                </c:pt>
                <c:pt idx="8">
                  <c:v>4725</c:v>
                </c:pt>
                <c:pt idx="9">
                  <c:v>33824</c:v>
                </c:pt>
              </c:numCache>
            </c:numRef>
          </c:val>
        </c:ser>
        <c:firstSliceAng val="160"/>
        <c:holeSize val="37"/>
      </c:doughnutChart>
    </c:plotArea>
    <c:plotVisOnly val="1"/>
    <c:dispBlanksAs val="zero"/>
  </c:chart>
  <c:spPr>
    <a:noFill/>
    <a:ln>
      <a:noFill/>
    </a:ln>
  </c:spPr>
  <c:txPr>
    <a:bodyPr/>
    <a:lstStyle/>
    <a:p>
      <a:pPr>
        <a:defRPr sz="164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sk-SK" sz="1000">
                <a:latin typeface="Arial" pitchFamily="34" charset="0"/>
                <a:cs typeface="Arial" pitchFamily="34" charset="0"/>
              </a:rPr>
              <a:t>Počet návštevníkov v ubytovacích zariadeniach za rok 2010</a:t>
            </a:r>
          </a:p>
        </c:rich>
      </c:tx>
    </c:title>
    <c:view3D>
      <c:rAngAx val="1"/>
    </c:view3D>
    <c:plotArea>
      <c:layout/>
      <c:bar3DChart>
        <c:barDir val="bar"/>
        <c:grouping val="stacked"/>
        <c:ser>
          <c:idx val="0"/>
          <c:order val="0"/>
          <c:tx>
            <c:strRef>
              <c:f>Hárok1!$B$1</c:f>
              <c:strCache>
                <c:ptCount val="1"/>
                <c:pt idx="0">
                  <c:v>domáci </c:v>
                </c:pt>
              </c:strCache>
            </c:strRef>
          </c:tx>
          <c:spPr>
            <a:solidFill>
              <a:srgbClr val="FFC000"/>
            </a:solidFill>
            <a:ln w="6350">
              <a:solidFill>
                <a:srgbClr val="FFFF66"/>
              </a:solidFill>
            </a:ln>
            <a:effectLst/>
          </c:spPr>
          <c:cat>
            <c:strRef>
              <c:f>Hárok1!$A$2:$A$12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Hárok1!$B$2:$B$12</c:f>
              <c:numCache>
                <c:formatCode>#,##0</c:formatCode>
                <c:ptCount val="11"/>
                <c:pt idx="0">
                  <c:v>2079</c:v>
                </c:pt>
                <c:pt idx="1">
                  <c:v>16720</c:v>
                </c:pt>
                <c:pt idx="2">
                  <c:v>16512</c:v>
                </c:pt>
                <c:pt idx="3">
                  <c:v>850</c:v>
                </c:pt>
                <c:pt idx="4">
                  <c:v>156556</c:v>
                </c:pt>
                <c:pt idx="5">
                  <c:v>28481</c:v>
                </c:pt>
                <c:pt idx="6">
                  <c:v>9105</c:v>
                </c:pt>
                <c:pt idx="7">
                  <c:v>41723</c:v>
                </c:pt>
                <c:pt idx="8">
                  <c:v>24030</c:v>
                </c:pt>
                <c:pt idx="9">
                  <c:v>20701</c:v>
                </c:pt>
                <c:pt idx="10">
                  <c:v>107152</c:v>
                </c:pt>
              </c:numCache>
            </c:numRef>
          </c:val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zahraniční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 w="6350">
              <a:solidFill>
                <a:schemeClr val="accent3">
                  <a:lumMod val="75000"/>
                </a:schemeClr>
              </a:solidFill>
            </a:ln>
          </c:spPr>
          <c:cat>
            <c:strRef>
              <c:f>Hárok1!$A$2:$A$12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Hárok1!$C$2:$C$12</c:f>
              <c:numCache>
                <c:formatCode>#,##0</c:formatCode>
                <c:ptCount val="11"/>
                <c:pt idx="0">
                  <c:v>573</c:v>
                </c:pt>
                <c:pt idx="1">
                  <c:v>6494</c:v>
                </c:pt>
                <c:pt idx="2">
                  <c:v>10294</c:v>
                </c:pt>
                <c:pt idx="3">
                  <c:v>480</c:v>
                </c:pt>
                <c:pt idx="4">
                  <c:v>96115</c:v>
                </c:pt>
                <c:pt idx="5">
                  <c:v>10772</c:v>
                </c:pt>
                <c:pt idx="6">
                  <c:v>2405</c:v>
                </c:pt>
                <c:pt idx="7">
                  <c:v>31570</c:v>
                </c:pt>
                <c:pt idx="8">
                  <c:v>6450</c:v>
                </c:pt>
                <c:pt idx="9">
                  <c:v>12697</c:v>
                </c:pt>
                <c:pt idx="10">
                  <c:v>56389</c:v>
                </c:pt>
              </c:numCache>
            </c:numRef>
          </c:val>
        </c:ser>
        <c:gapWidth val="95"/>
        <c:gapDepth val="95"/>
        <c:shape val="box"/>
        <c:axId val="107087744"/>
        <c:axId val="107266816"/>
        <c:axId val="0"/>
      </c:bar3DChart>
      <c:catAx>
        <c:axId val="107087744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07266816"/>
        <c:crosses val="autoZero"/>
        <c:auto val="1"/>
        <c:lblAlgn val="ctr"/>
        <c:lblOffset val="100"/>
      </c:catAx>
      <c:valAx>
        <c:axId val="107266816"/>
        <c:scaling>
          <c:orientation val="minMax"/>
          <c:max val="260000"/>
          <c:min val="0"/>
        </c:scaling>
        <c:delete val="1"/>
        <c:axPos val="b"/>
        <c:numFmt formatCode="#,##0" sourceLinked="1"/>
        <c:majorTickMark val="none"/>
        <c:tickLblPos val="none"/>
        <c:crossAx val="107087744"/>
        <c:crosses val="autoZero"/>
        <c:crossBetween val="between"/>
        <c:majorUnit val="60000"/>
        <c:minorUnit val="10000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</c:dTable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r>
              <a:rPr lang="cs-CZ" sz="1000">
                <a:latin typeface="Arial" pitchFamily="34" charset="0"/>
                <a:cs typeface="Arial" pitchFamily="34" charset="0"/>
              </a:rPr>
              <a:t>Porovnanie</a:t>
            </a:r>
            <a:r>
              <a:rPr lang="cs-CZ" sz="1000" baseline="0">
                <a:latin typeface="Arial" pitchFamily="34" charset="0"/>
                <a:cs typeface="Arial" pitchFamily="34" charset="0"/>
              </a:rPr>
              <a:t> počtu návštevníkov v ubytovacích zariadeniach</a:t>
            </a:r>
            <a:endParaRPr lang="cs-CZ" sz="1000">
              <a:latin typeface="Arial" pitchFamily="34" charset="0"/>
              <a:cs typeface="Arial" pitchFamily="34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List1!$B$2:$B$12</c:f>
              <c:numCache>
                <c:formatCode>#,##0</c:formatCode>
                <c:ptCount val="11"/>
                <c:pt idx="0">
                  <c:v>2652</c:v>
                </c:pt>
                <c:pt idx="1">
                  <c:v>23214</c:v>
                </c:pt>
                <c:pt idx="2">
                  <c:v>26806</c:v>
                </c:pt>
                <c:pt idx="3">
                  <c:v>1330</c:v>
                </c:pt>
                <c:pt idx="4">
                  <c:v>252671</c:v>
                </c:pt>
                <c:pt idx="5">
                  <c:v>39253</c:v>
                </c:pt>
                <c:pt idx="6">
                  <c:v>11510</c:v>
                </c:pt>
                <c:pt idx="7">
                  <c:v>73293</c:v>
                </c:pt>
                <c:pt idx="8">
                  <c:v>30480</c:v>
                </c:pt>
                <c:pt idx="9">
                  <c:v>33398</c:v>
                </c:pt>
                <c:pt idx="10">
                  <c:v>163541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2009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List1!$C$2:$C$12</c:f>
              <c:numCache>
                <c:formatCode>#,##0</c:formatCode>
                <c:ptCount val="11"/>
                <c:pt idx="0">
                  <c:v>3117</c:v>
                </c:pt>
                <c:pt idx="1">
                  <c:v>22838</c:v>
                </c:pt>
                <c:pt idx="2">
                  <c:v>22880</c:v>
                </c:pt>
                <c:pt idx="3">
                  <c:v>2372</c:v>
                </c:pt>
                <c:pt idx="4">
                  <c:v>238724</c:v>
                </c:pt>
                <c:pt idx="5">
                  <c:v>43611</c:v>
                </c:pt>
                <c:pt idx="6">
                  <c:v>11153</c:v>
                </c:pt>
                <c:pt idx="7">
                  <c:v>77684</c:v>
                </c:pt>
                <c:pt idx="8">
                  <c:v>27288</c:v>
                </c:pt>
                <c:pt idx="9">
                  <c:v>35005</c:v>
                </c:pt>
                <c:pt idx="10">
                  <c:v>158618</c:v>
                </c:pt>
              </c:numCache>
            </c:numRef>
          </c:val>
        </c:ser>
        <c:axId val="115297280"/>
        <c:axId val="115332608"/>
      </c:barChart>
      <c:catAx>
        <c:axId val="115297280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5332608"/>
        <c:crosses val="autoZero"/>
        <c:auto val="1"/>
        <c:lblAlgn val="ctr"/>
        <c:lblOffset val="100"/>
      </c:catAx>
      <c:valAx>
        <c:axId val="115332608"/>
        <c:scaling>
          <c:orientation val="minMax"/>
          <c:max val="260000"/>
          <c:min val="0"/>
        </c:scaling>
        <c:delete val="1"/>
        <c:axPos val="l"/>
        <c:numFmt formatCode="#,##0" sourceLinked="1"/>
        <c:tickLblPos val="none"/>
        <c:crossAx val="115297280"/>
        <c:crosses val="autoZero"/>
        <c:crossBetween val="between"/>
        <c:minorUnit val="10000"/>
      </c:valAx>
    </c:plotArea>
    <c:legend>
      <c:legendPos val="r"/>
      <c:layout>
        <c:manualLayout>
          <c:xMode val="edge"/>
          <c:yMode val="edge"/>
          <c:x val="0.53642479585885083"/>
          <c:y val="0.1712979627546557"/>
          <c:w val="0.1603344634004083"/>
          <c:h val="8.0023122109736292E-2"/>
        </c:manualLayout>
      </c:layout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 algn="ctr">
              <a:defRPr sz="1000">
                <a:latin typeface="Arial" pitchFamily="34" charset="0"/>
                <a:cs typeface="Arial" pitchFamily="34" charset="0"/>
              </a:defRPr>
            </a:pPr>
            <a:r>
              <a:rPr lang="cs-CZ" sz="1000" b="1" i="0" baseline="0">
                <a:latin typeface="Arial" pitchFamily="34" charset="0"/>
                <a:cs typeface="Arial" pitchFamily="34" charset="0"/>
              </a:rPr>
              <a:t>Priemerný počet prenocovaní v ubytovacích zariadeniach za rok 2010</a:t>
            </a:r>
            <a:endParaRPr lang="cs-CZ" sz="1000">
              <a:latin typeface="Arial" pitchFamily="34" charset="0"/>
              <a:cs typeface="Arial" pitchFamily="34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8.8282857204832893E-2"/>
          <c:y val="0.1738690476190477"/>
          <c:w val="0.88306700505412028"/>
          <c:h val="0.69707301587301584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počet prenocovaní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 w="12700">
              <a:solidFill>
                <a:schemeClr val="accent6">
                  <a:lumMod val="20000"/>
                  <a:lumOff val="80000"/>
                </a:schemeClr>
              </a:solidFill>
            </a:ln>
            <a:effectLst>
              <a:outerShdw blurRad="50800" dist="50800" dir="5400000" algn="ctr" rotWithShape="0">
                <a:schemeClr val="bg1"/>
              </a:outerShdw>
            </a:effectLst>
          </c:spPr>
          <c:dLbls>
            <c:numFmt formatCode="#,##0.0" sourceLinked="0"/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dLblPos val="ctr"/>
            <c:showVal val="1"/>
          </c:dLbls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List1!$B$2:$B$12</c:f>
              <c:numCache>
                <c:formatCode>#,##0.0</c:formatCode>
                <c:ptCount val="11"/>
                <c:pt idx="0">
                  <c:v>2.9547999999999996</c:v>
                </c:pt>
                <c:pt idx="1">
                  <c:v>2.5617000000000001</c:v>
                </c:pt>
                <c:pt idx="2">
                  <c:v>2.3899999999999997</c:v>
                </c:pt>
                <c:pt idx="3">
                  <c:v>2.1211000000000002</c:v>
                </c:pt>
                <c:pt idx="4">
                  <c:v>3.3485</c:v>
                </c:pt>
                <c:pt idx="5">
                  <c:v>2.2402000000000002</c:v>
                </c:pt>
                <c:pt idx="6">
                  <c:v>2.9251</c:v>
                </c:pt>
                <c:pt idx="7">
                  <c:v>3.6913</c:v>
                </c:pt>
                <c:pt idx="8">
                  <c:v>8.0726000000000031</c:v>
                </c:pt>
                <c:pt idx="9">
                  <c:v>2.9274</c:v>
                </c:pt>
                <c:pt idx="10">
                  <c:v>2.5660000000000003</c:v>
                </c:pt>
              </c:numCache>
            </c:numRef>
          </c:val>
        </c:ser>
        <c:gapWidth val="80"/>
        <c:axId val="126631936"/>
        <c:axId val="126633472"/>
      </c:barChart>
      <c:lineChart>
        <c:grouping val="standard"/>
        <c:ser>
          <c:idx val="1"/>
          <c:order val="1"/>
          <c:tx>
            <c:strRef>
              <c:f>List1!$C$1</c:f>
              <c:strCache>
                <c:ptCount val="1"/>
                <c:pt idx="0">
                  <c:v>ZI kraj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strRef>
              <c:f>List1!$A$2:$A$12</c:f>
              <c:strCache>
                <c:ptCount val="11"/>
                <c:pt idx="0">
                  <c:v>BY</c:v>
                </c:pt>
                <c:pt idx="1">
                  <c:v>CA</c:v>
                </c:pt>
                <c:pt idx="2">
                  <c:v>DK</c:v>
                </c:pt>
                <c:pt idx="3">
                  <c:v>KM</c:v>
                </c:pt>
                <c:pt idx="4">
                  <c:v>LM</c:v>
                </c:pt>
                <c:pt idx="5">
                  <c:v>MT</c:v>
                </c:pt>
                <c:pt idx="6">
                  <c:v>NO</c:v>
                </c:pt>
                <c:pt idx="7">
                  <c:v>RK</c:v>
                </c:pt>
                <c:pt idx="8">
                  <c:v>TR</c:v>
                </c:pt>
                <c:pt idx="9">
                  <c:v>TS</c:v>
                </c:pt>
                <c:pt idx="10">
                  <c:v>ZA</c:v>
                </c:pt>
              </c:strCache>
            </c:strRef>
          </c:cat>
          <c:val>
            <c:numRef>
              <c:f>List1!$C$2:$C$12</c:f>
              <c:numCache>
                <c:formatCode>General</c:formatCode>
                <c:ptCount val="11"/>
                <c:pt idx="0">
                  <c:v>3.2</c:v>
                </c:pt>
                <c:pt idx="1">
                  <c:v>3.2</c:v>
                </c:pt>
                <c:pt idx="2">
                  <c:v>3.2</c:v>
                </c:pt>
                <c:pt idx="3">
                  <c:v>3.2</c:v>
                </c:pt>
                <c:pt idx="4">
                  <c:v>3.2</c:v>
                </c:pt>
                <c:pt idx="5">
                  <c:v>3.2</c:v>
                </c:pt>
                <c:pt idx="6">
                  <c:v>3.2</c:v>
                </c:pt>
                <c:pt idx="7">
                  <c:v>3.2</c:v>
                </c:pt>
                <c:pt idx="8">
                  <c:v>3.2</c:v>
                </c:pt>
                <c:pt idx="9">
                  <c:v>3.2</c:v>
                </c:pt>
                <c:pt idx="10">
                  <c:v>3.2</c:v>
                </c:pt>
              </c:numCache>
            </c:numRef>
          </c:val>
        </c:ser>
        <c:marker val="1"/>
        <c:axId val="126631936"/>
        <c:axId val="126633472"/>
      </c:lineChart>
      <c:catAx>
        <c:axId val="12663193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 b="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6633472"/>
        <c:crosses val="autoZero"/>
        <c:auto val="1"/>
        <c:lblAlgn val="ctr"/>
        <c:lblOffset val="100"/>
      </c:catAx>
      <c:valAx>
        <c:axId val="126633472"/>
        <c:scaling>
          <c:orientation val="minMax"/>
          <c:max val="8.5"/>
          <c:min val="0"/>
        </c:scaling>
        <c:delete val="1"/>
        <c:axPos val="l"/>
        <c:numFmt formatCode="#,##0" sourceLinked="0"/>
        <c:tickLblPos val="none"/>
        <c:crossAx val="126631936"/>
        <c:crosses val="autoZero"/>
        <c:crossBetween val="between"/>
        <c:majorUnit val="1"/>
      </c:valAx>
      <c:spPr>
        <a:ln>
          <a:noFill/>
        </a:ln>
      </c:spPr>
    </c:plotArea>
    <c:plotVisOnly val="1"/>
    <c:dispBlanksAs val="gap"/>
  </c:chart>
  <c:spPr>
    <a:noFill/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0.39853</cdr:x>
      <cdr:y>0.23235</cdr:y>
    </cdr:from>
    <cdr:to>
      <cdr:x>0.51428</cdr:x>
      <cdr:y>0.27941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295525" y="752475"/>
          <a:ext cx="666750" cy="152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E4139-551D-4E77-91D2-8E5ACE72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4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zerjav</dc:creator>
  <cp:keywords/>
  <dc:description/>
  <cp:lastModifiedBy>holien</cp:lastModifiedBy>
  <cp:revision>451</cp:revision>
  <cp:lastPrinted>2011-03-03T06:45:00Z</cp:lastPrinted>
  <dcterms:created xsi:type="dcterms:W3CDTF">2010-06-24T09:06:00Z</dcterms:created>
  <dcterms:modified xsi:type="dcterms:W3CDTF">2011-03-03T06:53:00Z</dcterms:modified>
</cp:coreProperties>
</file>